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A0" w:rsidRPr="0074254B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4D25A0" w:rsidRPr="0074254B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4D25A0" w:rsidRPr="0074254B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ПОСЛЕДСТВИЙ СТИХИЙНЫХ БЕДСТВИЙ</w:t>
      </w:r>
    </w:p>
    <w:p w:rsidR="004D25A0" w:rsidRPr="0074254B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</w:p>
    <w:p w:rsidR="004D25A0" w:rsidRPr="0074254B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ДОКЛАДЫ</w:t>
      </w:r>
    </w:p>
    <w:p w:rsidR="004D25A0" w:rsidRPr="0074254B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С ОБОБЩЕНИЕМ И АНАЛИЗОМ ПРАВОПРИМЕНИТЕЛЬНОЙ ПРАКТИКИ,</w:t>
      </w:r>
    </w:p>
    <w:p w:rsidR="004D25A0" w:rsidRPr="0074254B" w:rsidRDefault="004D25A0" w:rsidP="004D25A0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ТИПОВЫХ И МАССОВЫХ НАРУШЕНИЙ ОБЯЗАТЕЛЬНЫХ ТРЕБОВАНИЙ</w:t>
      </w:r>
    </w:p>
    <w:p w:rsidR="0074254B" w:rsidRPr="0074254B" w:rsidRDefault="0074254B" w:rsidP="004D25A0">
      <w:pPr>
        <w:pStyle w:val="ConsPlusTitle"/>
        <w:jc w:val="center"/>
        <w:outlineLvl w:val="0"/>
        <w:rPr>
          <w:rFonts w:ascii="Times New Roman" w:hAnsi="Times New Roman" w:cs="Times New Roman"/>
          <w:i/>
        </w:rPr>
      </w:pPr>
    </w:p>
    <w:p w:rsidR="004D25A0" w:rsidRPr="0074254B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  <w:i/>
        </w:rPr>
      </w:pPr>
      <w:r w:rsidRPr="0074254B">
        <w:rPr>
          <w:rFonts w:ascii="Times New Roman" w:hAnsi="Times New Roman" w:cs="Times New Roman"/>
          <w:i/>
        </w:rPr>
        <w:t>(выписка)</w:t>
      </w:r>
    </w:p>
    <w:p w:rsidR="004D25A0" w:rsidRPr="0074254B" w:rsidRDefault="004D25A0" w:rsidP="004D25A0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3C6C6D" w:rsidRPr="0074254B" w:rsidRDefault="003C6C6D" w:rsidP="003C6C6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Раздел III</w:t>
      </w:r>
    </w:p>
    <w:p w:rsidR="003C6C6D" w:rsidRPr="0074254B" w:rsidRDefault="003C6C6D" w:rsidP="003C6C6D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ФЕДЕРАЛЬНЫЙ ГОСУДАРСТВЕННЫЙ НАДЗОР</w:t>
      </w:r>
    </w:p>
    <w:p w:rsidR="003C6C6D" w:rsidRPr="0074254B" w:rsidRDefault="003C6C6D" w:rsidP="003C6C6D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В ОБЛАСТИ ЗАЩИТЫ НАСЕЛЕНИЯ И ТЕРРИТОРИЙ ОТ ЧРЕЗВЫЧАЙНЫХ</w:t>
      </w:r>
    </w:p>
    <w:p w:rsidR="003C6C6D" w:rsidRPr="0074254B" w:rsidRDefault="003C6C6D" w:rsidP="003C6C6D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СИТУАЦИЙ ПРИРОДНОГО И ТЕХНОГЕННОГО ХАРАКТЕРА</w:t>
      </w:r>
    </w:p>
    <w:p w:rsidR="003C6C6D" w:rsidRPr="0074254B" w:rsidRDefault="003C6C6D" w:rsidP="003C6C6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6C6D" w:rsidRPr="0074254B" w:rsidRDefault="003C6C6D" w:rsidP="003C6C6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3.4. Доклад с руководством по соблюдению</w:t>
      </w:r>
    </w:p>
    <w:p w:rsidR="003C6C6D" w:rsidRPr="0074254B" w:rsidRDefault="003C6C6D" w:rsidP="003C6C6D">
      <w:pPr>
        <w:pStyle w:val="ConsPlusTitle"/>
        <w:jc w:val="center"/>
        <w:rPr>
          <w:rFonts w:ascii="Times New Roman" w:hAnsi="Times New Roman" w:cs="Times New Roman"/>
        </w:rPr>
      </w:pPr>
      <w:r w:rsidRPr="0074254B">
        <w:rPr>
          <w:rFonts w:ascii="Times New Roman" w:hAnsi="Times New Roman" w:cs="Times New Roman"/>
        </w:rPr>
        <w:t>обязательных требований</w:t>
      </w:r>
    </w:p>
    <w:p w:rsidR="003C6C6D" w:rsidRPr="0074254B" w:rsidRDefault="003C6C6D" w:rsidP="003C6C6D">
      <w:pPr>
        <w:pStyle w:val="ConsPlusNormal"/>
        <w:jc w:val="both"/>
      </w:pPr>
    </w:p>
    <w:p w:rsidR="0074254B" w:rsidRPr="0074254B" w:rsidRDefault="0074254B" w:rsidP="0074254B">
      <w:pPr>
        <w:pStyle w:val="ConsPlusNormal"/>
        <w:ind w:firstLine="540"/>
        <w:jc w:val="both"/>
      </w:pPr>
      <w:r w:rsidRPr="0074254B">
        <w:t>В целях урегулирования отношений, связанных с организацией и осуществлением федерального государственного надзора в области защиты населения и территорий от чрезвычайных ситуаций, в основу которых положены принципы соразмерности вмешательства в деятельность контролируемых лиц, управление рисками причинения вреда (ущерба) охраняемым законом ценностям, проведена следующая работа.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Федеральным </w:t>
      </w:r>
      <w:hyperlink r:id="rId4" w:history="1">
        <w:r w:rsidRPr="0074254B">
          <w:t>законом</w:t>
        </w:r>
      </w:hyperlink>
      <w:r w:rsidRPr="0074254B">
        <w:t xml:space="preserve">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внесены изменения в Федеральный </w:t>
      </w:r>
      <w:hyperlink r:id="rId5" w:history="1">
        <w:r w:rsidRPr="0074254B">
          <w:t>закон</w:t>
        </w:r>
      </w:hyperlink>
      <w:r w:rsidRPr="0074254B">
        <w:t xml:space="preserve"> от 21.12.1994 N 68-ФЗ "О защите населения и территорий от чрезвычайных ситуаций природного и техногенного характера", закрепляющие основы осуществления надзорных мероприятий в области защиты населения и территорий от чрезвычайных ситуаций.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Принято </w:t>
      </w:r>
      <w:hyperlink r:id="rId6" w:history="1">
        <w:r w:rsidRPr="0074254B">
          <w:t>постановление</w:t>
        </w:r>
      </w:hyperlink>
      <w:r w:rsidRPr="0074254B">
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ситуаций", определяющее порядок организации и осуществления федерального государственного надзора в соответствующей сфере деятельности.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hyperlink r:id="rId7" w:history="1">
        <w:r w:rsidRPr="0074254B">
          <w:t>Постановлением</w:t>
        </w:r>
      </w:hyperlink>
      <w:r w:rsidRPr="0074254B">
        <w:t xml:space="preserve"> установлен набор средств и механизмов проведения профилактической работы, а также реализуемых органами, осуществляющими федеральный государственный надзор, механизмов при проведении данной работы мероприятий.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К числу профилактических мероприятий отнесены: информирование, обобщение правоприменительной практики, объявление предостережения, осуществление консультирования и профилактический визит.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hyperlink r:id="rId8" w:history="1">
        <w:r w:rsidRPr="0074254B">
          <w:t>Постановлением</w:t>
        </w:r>
      </w:hyperlink>
      <w:r w:rsidRPr="0074254B">
        <w:t xml:space="preserve"> утверждены актуализированный порядок и критерии отнесения объектов надзора к определенным категориям риска.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Так, плановые контрольные (надзорные) мероприятия в области защиты населения и территорий от чрезвычайных ситуаций осуществляются исключительно в отношении следующих категорий граждан и организаций: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граждан и организаций, эксплуатирующих критически важные объекты;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lastRenderedPageBreak/>
        <w:t>граждан и организаций, эксплуатирующих потенциально опасные объекты;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граждан и организаций, если эти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ситуаций;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государственных корпораций, создающих в установленном порядке функциональные подсистемы единой государственной системы предупреждения и ликвидации чрезвычайных ситуаций.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Предусматриваемый перечень реализуемых контрольных (надзорных) мероприятий включает инспекционный визит, рейдовый осмотр, документарную проверку, выездную проверку, а также выездное обследование.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Устанавливаемый набор контрольных (надзорных) мероприятий позволит сократить издержки контролируемых лиц в рамках проводимых мероприятий, а также обеспечит эффективное использование имеющихся ресурсов органов, осуществляющих федеральный государственный надзор, сконцентрировав их усилия на объектах надзора повышенных категорий рисков.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В указанное </w:t>
      </w:r>
      <w:hyperlink r:id="rId9" w:history="1">
        <w:r w:rsidRPr="0074254B">
          <w:t>постановление</w:t>
        </w:r>
      </w:hyperlink>
      <w:r w:rsidRPr="0074254B">
        <w:t xml:space="preserve"> внесены изменения </w:t>
      </w:r>
      <w:hyperlink r:id="rId10" w:history="1">
        <w:r w:rsidRPr="0074254B">
          <w:t>постановлением</w:t>
        </w:r>
      </w:hyperlink>
      <w:r w:rsidRPr="0074254B">
        <w:t xml:space="preserve"> Правительства Российской Федерации от 30.11.2021 N 2109 "О внесении изменений в некоторые акты Правительства Российской Федерации" в части установления ключевых показателей, необходимых для адекватной и обоснованной оценки результативности и эффективности деятельности МЧС России по федеральному государственному надзору в области защиты населения и территорий от чрезвычайных ситуаций.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В целях осуществления мониторинга контрольной (надзорной) деятельности в области защиты населения и территорий от чрезвычайных ситуаций, ее анализа, выявления проблем, возникающих при ее осуществлении, и определения причин их возникновения утвержден </w:t>
      </w:r>
      <w:hyperlink r:id="rId11" w:history="1">
        <w:r w:rsidRPr="0074254B">
          <w:t>приказ</w:t>
        </w:r>
      </w:hyperlink>
      <w:r w:rsidRPr="0074254B">
        <w:t xml:space="preserve"> МЧС России от 16.09.2021 N 613 "Об утверждении индикативных показателей для федерального государственного надзора в области защиты населения и территорий от чрезвычайных ситуаций" (зарегистрировано Минюстом России 21.10.2021, регистрационный N 65529).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Утвержденные индикативные </w:t>
      </w:r>
      <w:hyperlink r:id="rId12" w:history="1">
        <w:r w:rsidRPr="0074254B">
          <w:t>показатели</w:t>
        </w:r>
      </w:hyperlink>
      <w:r w:rsidRPr="0074254B">
        <w:t xml:space="preserve"> используются при подготовке ежегодного доклада о федеральном государственном надзоре в области защиты населения и территорий от чрезвычайных ситуаций, осуществляемой в соответствии с </w:t>
      </w:r>
      <w:hyperlink r:id="rId13" w:history="1">
        <w:r w:rsidRPr="0074254B">
          <w:t>постановлением</w:t>
        </w:r>
      </w:hyperlink>
      <w:r w:rsidRPr="0074254B">
        <w:t xml:space="preserve"> Правительства Российской Федерации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МЧС России утвержден </w:t>
      </w:r>
      <w:hyperlink r:id="rId14" w:history="1">
        <w:r w:rsidRPr="0074254B">
          <w:t>приказ</w:t>
        </w:r>
      </w:hyperlink>
      <w:r w:rsidRPr="0074254B">
        <w:t xml:space="preserve"> от 25.10.2021 N 725 "Об утверждении форм документов, используемых при осуществлении федерального государственного надзора в области защиты населения и территорий от чрезвычайных ситуаций" (зарегистрировано Минюстом России 22.12.2021, регистрационный N 66479).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Утвержденные формы документов необходимы для организации деятельности органов, осуществляющих федеральный государственный надзор, в части учета объектов надзора, организации и проведения профилактических мероприятий, совершения контрольных (надзорных) действий при осуществлении контрольных (надзорных) мероприятий, оформления результатов контрольных (надзорных) мероприятий.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lastRenderedPageBreak/>
        <w:t xml:space="preserve">Приказом МЧС России от 17.11.2021 N 800 "Об утверждении индикатора риска нарушения обязательных требований при осуществлении федерального государственного надзора в области защиты населения и территорий от чрезвычайных ситуаций" (зарегистрировано Минюстом России 29.12.2021, регистрационный N 66673) установлен </w:t>
      </w:r>
      <w:hyperlink r:id="rId15" w:history="1">
        <w:r w:rsidRPr="0074254B">
          <w:t>индикатор</w:t>
        </w:r>
      </w:hyperlink>
      <w:r w:rsidRPr="0074254B">
        <w:t xml:space="preserve"> риска "Повторный случай </w:t>
      </w:r>
      <w:proofErr w:type="spellStart"/>
      <w:r w:rsidRPr="0074254B">
        <w:t>непрохождения</w:t>
      </w:r>
      <w:proofErr w:type="spellEnd"/>
      <w:r w:rsidRPr="0074254B">
        <w:t xml:space="preserve"> проверочного сигнала "Техническая проверка" в локальной системе оповещения, созданной контролируемым лицом, произошедший в течение ста восьмидесяти календарных дней с даты первого случая".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Соответствующий индикатор риска характеризует соответствие или отклонение от параметров деятельности юридических лиц и индивидуальных предпринимателей, при этом сам по себе не является нарушением обязательных требований в области защиты населения и территорий от чрезвычайных ситуаций, но с высокой степенью вероятности свидетельствует о наличии такого нарушения и риска причинения вреда (ущерба) охраняемым законом ценностям.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Выявление индикатора риска является основанием для принятия решения о проведении органом, осуществляющим федеральный государственный надзор, внепланового контрольного (надзорного) мероприятия в отношении соответствующего контролируемого лица.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Ввиду проведенной актуализации нормативных правовых актов, содержащих обязательные требования в области защиты населения и территорий от чрезвычайных ситуаций, утвержден </w:t>
      </w:r>
      <w:hyperlink r:id="rId16" w:history="1">
        <w:r w:rsidRPr="0074254B">
          <w:t>приказ</w:t>
        </w:r>
      </w:hyperlink>
      <w:r w:rsidRPr="0074254B">
        <w:t xml:space="preserve"> МЧС России от 04.02.2022 N 62 "Об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ситуаций" (зарегистрировано Минюстом России 25.02.2022, регистрационный N 67502).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Приказ устанавливает </w:t>
      </w:r>
      <w:hyperlink r:id="rId17" w:history="1">
        <w:r w:rsidRPr="0074254B">
          <w:t>форму</w:t>
        </w:r>
      </w:hyperlink>
      <w:r w:rsidRPr="0074254B"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 в целях его использования при осуществлении федерального государственного надзора и оптимизации проведения контрольных (надзорных) мероприятий.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Контрольные вопросы, предусматриваемые </w:t>
      </w:r>
      <w:hyperlink r:id="rId18" w:history="1">
        <w:r w:rsidRPr="0074254B">
          <w:t>формой</w:t>
        </w:r>
      </w:hyperlink>
      <w:r w:rsidRPr="0074254B">
        <w:t xml:space="preserve"> проверочного листа, основаны на положениях Федерального </w:t>
      </w:r>
      <w:hyperlink r:id="rId19" w:history="1">
        <w:r w:rsidRPr="0074254B">
          <w:t>закона</w:t>
        </w:r>
      </w:hyperlink>
      <w:r w:rsidRPr="0074254B">
        <w:t xml:space="preserve"> 21.12.1994 N 68-ФЗ "О защите населения и территорий от чрезвычайных ситуаций природного и техногенного характера" и принимаемых в соответствии с ним иных нормативных правовых актов Российской Федерации, устанавливающих обязательные требования в области защиты населения и территорий от чрезвычайных ситуаций.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Также с учетом новых подходов к организации профилактической работы, установленных положениями Федерального </w:t>
      </w:r>
      <w:hyperlink r:id="rId20" w:history="1">
        <w:r w:rsidRPr="0074254B">
          <w:t>закона</w:t>
        </w:r>
      </w:hyperlink>
      <w:r w:rsidRPr="0074254B">
        <w:t xml:space="preserve"> от 31 июля 2020 г. N 248-ФЗ "О государственном контроле (надзоре) и муниципальном контроле в Российской Федерации" и </w:t>
      </w:r>
      <w:hyperlink r:id="rId21" w:history="1">
        <w:r w:rsidRPr="0074254B">
          <w:t>постановления</w:t>
        </w:r>
      </w:hyperlink>
      <w:r w:rsidRPr="0074254B"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разработана и утверждена </w:t>
      </w:r>
      <w:hyperlink r:id="rId22" w:history="1">
        <w:r w:rsidRPr="0074254B">
          <w:t>Программа</w:t>
        </w:r>
      </w:hyperlink>
      <w:r w:rsidRPr="0074254B">
        <w:t xml:space="preserve">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В истекшем году проведена следующая работа по актуализации обязательных требований в области защиты населения и территорий от чрезвычайных ситуаций.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Решением Совета Евразийской экономической комиссии от 5 октября 2021 г. N 100 принят </w:t>
      </w:r>
      <w:r w:rsidRPr="0074254B">
        <w:lastRenderedPageBreak/>
        <w:t xml:space="preserve">Технический </w:t>
      </w:r>
      <w:hyperlink r:id="rId23" w:history="1">
        <w:r w:rsidRPr="0074254B">
          <w:t>регламент</w:t>
        </w:r>
      </w:hyperlink>
      <w:r w:rsidRPr="0074254B">
        <w:t xml:space="preserve">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050/2021), который вступает в силу 1 июня 2023 года. Технический </w:t>
      </w:r>
      <w:hyperlink r:id="rId24" w:history="1">
        <w:r w:rsidRPr="0074254B">
          <w:t>регламент</w:t>
        </w:r>
      </w:hyperlink>
      <w:r w:rsidRPr="0074254B">
        <w:t xml:space="preserve"> разработан в соответствии с </w:t>
      </w:r>
      <w:hyperlink r:id="rId25" w:history="1">
        <w:r w:rsidRPr="0074254B">
          <w:t>Договором</w:t>
        </w:r>
      </w:hyperlink>
      <w:r w:rsidRPr="0074254B">
        <w:t xml:space="preserve"> о Евразийском экономическом союзе от 29 мая 2014 г.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и устанавливает обязательные для применения и исполнения на таможенной территории Евразийского экономического союза (далее - Союз) требования к продукции, предназначенной для гражданской обороны и защиты от чрезвычайных ситуаций природного и техногенного характера, выпускаемой в обращение на таможенной территории Союза.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Издан Федеральный </w:t>
      </w:r>
      <w:hyperlink r:id="rId26" w:history="1">
        <w:r w:rsidRPr="0074254B">
          <w:t>закон</w:t>
        </w:r>
      </w:hyperlink>
      <w:r w:rsidRPr="0074254B">
        <w:t xml:space="preserve"> 30.12.2021 N 459-ФЗ "О внесении изменений в Федеральный закон "О защите населения и территорий от чрезвычайных ситуаций природного и техногенного характера", предусматривающий установление обязанности граждан эвакуироваться из зоны чрезвычайной ситуации; обеспечение постоянного доступа МЧС России к необходимым информационным массивам; наделение Правительства Российской Федерации полномочием по определению порядка проведения эвакуационных мероприятий.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>Теперь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 Также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Приняты постановления Правительства Российской Федерации: от 24.06.2021 </w:t>
      </w:r>
      <w:hyperlink r:id="rId27" w:history="1">
        <w:r w:rsidRPr="0074254B">
          <w:t>N 981</w:t>
        </w:r>
      </w:hyperlink>
      <w:r w:rsidRPr="0074254B">
        <w:t xml:space="preserve"> "Об утверждении Правил формирования и утверждения перечня критически важных объектов" - в целях реализации </w:t>
      </w:r>
      <w:hyperlink r:id="rId28" w:history="1">
        <w:r w:rsidRPr="0074254B">
          <w:t>подпункта "р" статьи 10</w:t>
        </w:r>
      </w:hyperlink>
      <w:r w:rsidRPr="0074254B">
        <w:t xml:space="preserve"> 68-ФЗ, формирование и ведение Перечня критически важных объектов осуществляется по отраслевому принципу с учетом специфики и особенностей таких объектов. Перечень формируется МЧС России путем включения в него ведомственных разделов, формируемых федеральными органами исполнительной власти; от 10.07.2021 </w:t>
      </w:r>
      <w:hyperlink r:id="rId29" w:history="1">
        <w:r w:rsidRPr="0074254B">
          <w:t>N 1155</w:t>
        </w:r>
      </w:hyperlink>
      <w:r w:rsidRPr="0074254B">
        <w:t xml:space="preserve"> "Об утверждении Правил формирования и утверждения перечня потенциально опасных объектов" - в целях реализации </w:t>
      </w:r>
      <w:hyperlink r:id="rId30" w:history="1">
        <w:r w:rsidRPr="0074254B">
          <w:t>подпункта "р" статьи 10</w:t>
        </w:r>
      </w:hyperlink>
      <w:r w:rsidRPr="0074254B">
        <w:t xml:space="preserve"> 68-ФЗ, формирование и утверждение Перечня осуществляет МЧС России, </w:t>
      </w:r>
      <w:hyperlink r:id="rId31" w:history="1">
        <w:r w:rsidRPr="0074254B">
          <w:t>Правила</w:t>
        </w:r>
      </w:hyperlink>
      <w:r w:rsidRPr="0074254B">
        <w:t xml:space="preserve"> утверждены в целях сбора, обработки, анализа и хранения информации о потенциально опасных объектах, создания информационной основы для разработки и выполнения требований к потенциально опасным объектам, информационного обеспечения федерального государственного надзора в области защиты населения и территорий от чрезвычайных ситуаций; от 3 сентября 2021 г. </w:t>
      </w:r>
      <w:hyperlink r:id="rId32" w:history="1">
        <w:r w:rsidRPr="0074254B">
          <w:t>N 1487</w:t>
        </w:r>
      </w:hyperlink>
      <w:r w:rsidRPr="0074254B">
        <w:t xml:space="preserve"> "Об утверждении порядка разработки обязательных для выполнения требований к потенциально опасным объектам в области защиты населения и территорий от чрезвычайных ситуаций" - в целях реализации </w:t>
      </w:r>
      <w:hyperlink r:id="rId33" w:history="1">
        <w:r w:rsidRPr="0074254B">
          <w:t>подпункта "р" статьи 10</w:t>
        </w:r>
      </w:hyperlink>
      <w:r w:rsidRPr="0074254B">
        <w:t xml:space="preserve"> 68-ФЗ, требования должны быть направлены на обеспечение защиты персонала организаций и потенциально опасных объектов от чрезвычайных ситуаций. Кроме того, определено, что для каждой категории потенциально опасных объектов необходимо установить соответствующий комплекс мер по предупреждению чрезвычайных ситуаций, по снижению риска их возникновения и смягчению последствий чрезвычайных ситуаций; от 11 сентября 2021 г. </w:t>
      </w:r>
      <w:hyperlink r:id="rId34" w:history="1">
        <w:r w:rsidRPr="0074254B">
          <w:t>N 1537</w:t>
        </w:r>
      </w:hyperlink>
      <w:r w:rsidRPr="0074254B">
        <w:t xml:space="preserve"> </w:t>
      </w:r>
      <w:r w:rsidRPr="0074254B">
        <w:lastRenderedPageBreak/>
        <w:t xml:space="preserve">"Об утверждении порядка разработки обязательных для выполнения требований к критически важным объектам в области защиты населения и территорий от чрезвычайных ситуаций" - в целях реализации </w:t>
      </w:r>
      <w:hyperlink r:id="rId35" w:history="1">
        <w:r w:rsidRPr="0074254B">
          <w:t>подпункта "р" статьи 10</w:t>
        </w:r>
      </w:hyperlink>
      <w:r w:rsidRPr="0074254B">
        <w:t xml:space="preserve"> 68-ФЗ, требования разрабатываются федеральными органами исполнительной власти, для каждой категории значимости критически важных объектов необходимо установить соответствующий комплекс мер по предупреждению чрезвычайных ситуаций, по снижению риска их возникновения и смягчению последствий чрезвычайных ситуаций; от 10 декабря 2021 г. </w:t>
      </w:r>
      <w:hyperlink r:id="rId36" w:history="1">
        <w:r w:rsidRPr="0074254B">
          <w:t>N 2252</w:t>
        </w:r>
      </w:hyperlink>
      <w:r w:rsidRPr="0074254B">
        <w:t xml:space="preserve"> "О внесении изменений в пункт 8 Положения о единой государственной системе предупреждения и ликвидации чрезвычайных ситуаций" - создание при комиссиях по предупреждению и ликвидации чрезвычайных ситуаций и обеспечению пожарной безопасности субъектов Российской Федерации постоянно действующих оперативных штабов под руководством начальников территориальных органов МЧС России.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Утверждены методические </w:t>
      </w:r>
      <w:hyperlink r:id="rId37" w:history="1">
        <w:r w:rsidRPr="0074254B">
          <w:t>рекомендации</w:t>
        </w:r>
      </w:hyperlink>
      <w:r w:rsidRPr="0074254B"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N 2-4-71-5-11 - разработаны на основе нормативных правовых актов, руководящих, методических и нормативно-технических документов в области защиты населения и территорий от чрезвычайных ситуаций природного и техногенного характера, с учетом накопленного в МЧС России опыта методического руководства созданием, хранением, использованием и восполнением резервов материальных ресурсов для ликвидации ЧС различного характера.</w:t>
      </w:r>
    </w:p>
    <w:p w:rsidR="0074254B" w:rsidRPr="0074254B" w:rsidRDefault="0074254B" w:rsidP="0074254B">
      <w:pPr>
        <w:pStyle w:val="ConsPlusNormal"/>
        <w:spacing w:before="240"/>
        <w:ind w:firstLine="540"/>
        <w:jc w:val="both"/>
      </w:pPr>
      <w:r w:rsidRPr="0074254B">
        <w:t xml:space="preserve">МЧС России рекомендует руководствоваться методическими </w:t>
      </w:r>
      <w:hyperlink r:id="rId38" w:history="1">
        <w:r w:rsidRPr="0074254B">
          <w:t>рекомендациями</w:t>
        </w:r>
      </w:hyperlink>
      <w:r w:rsidRPr="0074254B">
        <w:t xml:space="preserve"> для обеспечения единого методического подхода к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характера.</w:t>
      </w:r>
    </w:p>
    <w:p w:rsidR="004D25A0" w:rsidRPr="0074254B" w:rsidRDefault="004D25A0" w:rsidP="0074254B">
      <w:pPr>
        <w:pStyle w:val="ConsPlusNormal"/>
        <w:ind w:firstLine="540"/>
        <w:jc w:val="both"/>
      </w:pPr>
    </w:p>
    <w:sectPr w:rsidR="004D25A0" w:rsidRPr="0074254B" w:rsidSect="007A5B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3"/>
    <w:rsid w:val="0031419C"/>
    <w:rsid w:val="003A5DA3"/>
    <w:rsid w:val="003C6C6D"/>
    <w:rsid w:val="003E2343"/>
    <w:rsid w:val="004D25A0"/>
    <w:rsid w:val="0074254B"/>
    <w:rsid w:val="007A5BA7"/>
    <w:rsid w:val="009A13B2"/>
    <w:rsid w:val="00B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D78F"/>
  <w15:chartTrackingRefBased/>
  <w15:docId w15:val="{74252726-7236-499A-9B7F-6554556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D2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401898&amp;date=22.12.2022" TargetMode="External"/><Relationship Id="rId13" Type="http://schemas.openxmlformats.org/officeDocument/2006/relationships/hyperlink" Target="https://login.consultant.ru/link/?req=doc&amp;demo=1&amp;base=LAW&amp;n=370512&amp;date=22.12.2022" TargetMode="External"/><Relationship Id="rId18" Type="http://schemas.openxmlformats.org/officeDocument/2006/relationships/hyperlink" Target="https://login.consultant.ru/link/?req=doc&amp;demo=1&amp;base=LAW&amp;n=410818&amp;date=22.12.2022&amp;dst=100018&amp;field=134" TargetMode="External"/><Relationship Id="rId26" Type="http://schemas.openxmlformats.org/officeDocument/2006/relationships/hyperlink" Target="https://login.consultant.ru/link/?req=doc&amp;demo=1&amp;base=LAW&amp;n=405446&amp;date=22.12.202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1&amp;base=LAW&amp;n=388492&amp;date=22.12.2022" TargetMode="External"/><Relationship Id="rId34" Type="http://schemas.openxmlformats.org/officeDocument/2006/relationships/hyperlink" Target="https://login.consultant.ru/link/?req=doc&amp;demo=1&amp;base=LAW&amp;n=395277&amp;date=22.12.2022" TargetMode="External"/><Relationship Id="rId7" Type="http://schemas.openxmlformats.org/officeDocument/2006/relationships/hyperlink" Target="https://login.consultant.ru/link/?req=doc&amp;demo=1&amp;base=LAW&amp;n=401898&amp;date=22.12.2022" TargetMode="External"/><Relationship Id="rId12" Type="http://schemas.openxmlformats.org/officeDocument/2006/relationships/hyperlink" Target="https://login.consultant.ru/link/?req=doc&amp;demo=1&amp;base=LAW&amp;n=398952&amp;date=22.12.2022&amp;dst=100013&amp;field=134" TargetMode="External"/><Relationship Id="rId17" Type="http://schemas.openxmlformats.org/officeDocument/2006/relationships/hyperlink" Target="https://login.consultant.ru/link/?req=doc&amp;demo=1&amp;base=LAW&amp;n=410818&amp;date=22.12.2022&amp;dst=100018&amp;field=134" TargetMode="External"/><Relationship Id="rId25" Type="http://schemas.openxmlformats.org/officeDocument/2006/relationships/hyperlink" Target="https://login.consultant.ru/link/?req=doc&amp;demo=1&amp;base=LAW&amp;n=433492&amp;date=22.12.2022" TargetMode="External"/><Relationship Id="rId33" Type="http://schemas.openxmlformats.org/officeDocument/2006/relationships/hyperlink" Target="https://login.consultant.ru/link/?req=doc&amp;demo=1&amp;base=LAW&amp;n=430636&amp;date=22.12.2022&amp;dst=218&amp;field=134" TargetMode="External"/><Relationship Id="rId38" Type="http://schemas.openxmlformats.org/officeDocument/2006/relationships/hyperlink" Target="https://login.consultant.ru/link/?req=doc&amp;demo=1&amp;base=LAW&amp;n=385980&amp;date=22.12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10818&amp;date=22.12.2022" TargetMode="External"/><Relationship Id="rId20" Type="http://schemas.openxmlformats.org/officeDocument/2006/relationships/hyperlink" Target="https://login.consultant.ru/link/?req=doc&amp;demo=1&amp;base=LAW&amp;n=433434&amp;date=22.12.2022" TargetMode="External"/><Relationship Id="rId29" Type="http://schemas.openxmlformats.org/officeDocument/2006/relationships/hyperlink" Target="https://login.consultant.ru/link/?req=doc&amp;demo=1&amp;base=LAW&amp;n=390268&amp;date=22.12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01898&amp;date=22.12.2022" TargetMode="External"/><Relationship Id="rId11" Type="http://schemas.openxmlformats.org/officeDocument/2006/relationships/hyperlink" Target="https://login.consultant.ru/link/?req=doc&amp;demo=1&amp;base=LAW&amp;n=398952&amp;date=22.12.2022" TargetMode="External"/><Relationship Id="rId24" Type="http://schemas.openxmlformats.org/officeDocument/2006/relationships/hyperlink" Target="https://login.consultant.ru/link/?req=doc&amp;demo=1&amp;base=LAW&amp;n=400052&amp;date=22.12.2022&amp;dst=100015&amp;field=134" TargetMode="External"/><Relationship Id="rId32" Type="http://schemas.openxmlformats.org/officeDocument/2006/relationships/hyperlink" Target="https://login.consultant.ru/link/?req=doc&amp;demo=1&amp;base=LAW&amp;n=394764&amp;date=22.12.2022" TargetMode="External"/><Relationship Id="rId37" Type="http://schemas.openxmlformats.org/officeDocument/2006/relationships/hyperlink" Target="https://login.consultant.ru/link/?req=doc&amp;demo=1&amp;base=LAW&amp;n=385980&amp;date=22.12.202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demo=1&amp;base=LAW&amp;n=430636&amp;date=22.12.2022" TargetMode="External"/><Relationship Id="rId15" Type="http://schemas.openxmlformats.org/officeDocument/2006/relationships/hyperlink" Target="https://login.consultant.ru/link/?req=doc&amp;demo=1&amp;base=LAW&amp;n=405555&amp;date=22.12.2022&amp;dst=100012&amp;field=134" TargetMode="External"/><Relationship Id="rId23" Type="http://schemas.openxmlformats.org/officeDocument/2006/relationships/hyperlink" Target="https://login.consultant.ru/link/?req=doc&amp;demo=1&amp;base=LAW&amp;n=400052&amp;date=22.12.2022&amp;dst=100015&amp;field=134" TargetMode="External"/><Relationship Id="rId28" Type="http://schemas.openxmlformats.org/officeDocument/2006/relationships/hyperlink" Target="https://login.consultant.ru/link/?req=doc&amp;demo=1&amp;base=LAW&amp;n=430636&amp;date=22.12.2022&amp;dst=218&amp;field=134" TargetMode="External"/><Relationship Id="rId36" Type="http://schemas.openxmlformats.org/officeDocument/2006/relationships/hyperlink" Target="https://login.consultant.ru/link/?req=doc&amp;demo=1&amp;base=LAW&amp;n=403290&amp;date=22.12.2022" TargetMode="External"/><Relationship Id="rId10" Type="http://schemas.openxmlformats.org/officeDocument/2006/relationships/hyperlink" Target="https://login.consultant.ru/link/?req=doc&amp;demo=1&amp;base=LAW&amp;n=401762&amp;date=22.12.2022" TargetMode="External"/><Relationship Id="rId19" Type="http://schemas.openxmlformats.org/officeDocument/2006/relationships/hyperlink" Target="https://login.consultant.ru/link/?req=doc&amp;demo=1&amp;base=LAW&amp;n=430636&amp;date=22.12.2022" TargetMode="External"/><Relationship Id="rId31" Type="http://schemas.openxmlformats.org/officeDocument/2006/relationships/hyperlink" Target="https://login.consultant.ru/link/?req=doc&amp;demo=1&amp;base=LAW&amp;n=390268&amp;date=22.12.2022&amp;dst=100010&amp;field=134" TargetMode="External"/><Relationship Id="rId4" Type="http://schemas.openxmlformats.org/officeDocument/2006/relationships/hyperlink" Target="https://login.consultant.ru/link/?req=doc&amp;demo=1&amp;base=LAW&amp;n=386909&amp;date=22.12.2022" TargetMode="External"/><Relationship Id="rId9" Type="http://schemas.openxmlformats.org/officeDocument/2006/relationships/hyperlink" Target="https://login.consultant.ru/link/?req=doc&amp;demo=1&amp;base=LAW&amp;n=401898&amp;date=22.12.2022" TargetMode="External"/><Relationship Id="rId14" Type="http://schemas.openxmlformats.org/officeDocument/2006/relationships/hyperlink" Target="https://login.consultant.ru/link/?req=doc&amp;demo=1&amp;base=LAW&amp;n=404518&amp;date=22.12.2022" TargetMode="External"/><Relationship Id="rId22" Type="http://schemas.openxmlformats.org/officeDocument/2006/relationships/hyperlink" Target="https://login.consultant.ru/link/?req=doc&amp;demo=1&amp;base=LAW&amp;n=404330&amp;date=22.12.2022&amp;dst=100012&amp;field=134" TargetMode="External"/><Relationship Id="rId27" Type="http://schemas.openxmlformats.org/officeDocument/2006/relationships/hyperlink" Target="https://login.consultant.ru/link/?req=doc&amp;demo=1&amp;base=LAW&amp;n=388525&amp;date=22.12.2022" TargetMode="External"/><Relationship Id="rId30" Type="http://schemas.openxmlformats.org/officeDocument/2006/relationships/hyperlink" Target="https://login.consultant.ru/link/?req=doc&amp;demo=1&amp;base=LAW&amp;n=430636&amp;date=22.12.2022&amp;dst=218&amp;field=134" TargetMode="External"/><Relationship Id="rId35" Type="http://schemas.openxmlformats.org/officeDocument/2006/relationships/hyperlink" Target="https://login.consultant.ru/link/?req=doc&amp;demo=1&amp;base=LAW&amp;n=430636&amp;date=22.12.2022&amp;dst=21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2022-01-28T06:38:00Z</dcterms:created>
  <dcterms:modified xsi:type="dcterms:W3CDTF">2022-12-22T11:40:00Z</dcterms:modified>
</cp:coreProperties>
</file>