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A0" w:rsidRPr="00155074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155074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4D25A0" w:rsidRPr="00155074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155074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4D25A0" w:rsidRPr="00155074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155074">
        <w:rPr>
          <w:rFonts w:ascii="Times New Roman" w:hAnsi="Times New Roman" w:cs="Times New Roman"/>
        </w:rPr>
        <w:t>ПОСЛЕДСТВИЙ СТИХИЙНЫХ БЕДСТВИЙ</w:t>
      </w:r>
    </w:p>
    <w:p w:rsidR="004D25A0" w:rsidRPr="00155074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</w:p>
    <w:p w:rsidR="004D25A0" w:rsidRPr="00155074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155074">
        <w:rPr>
          <w:rFonts w:ascii="Times New Roman" w:hAnsi="Times New Roman" w:cs="Times New Roman"/>
        </w:rPr>
        <w:t>ДОКЛАДЫ</w:t>
      </w:r>
    </w:p>
    <w:p w:rsidR="004D25A0" w:rsidRPr="00155074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155074">
        <w:rPr>
          <w:rFonts w:ascii="Times New Roman" w:hAnsi="Times New Roman" w:cs="Times New Roman"/>
        </w:rPr>
        <w:t>С ОБОБЩЕНИЕМ И АНАЛИЗОМ ПРАВОПРИМЕНИТЕЛЬНОЙ ПРАКТИКИ,</w:t>
      </w:r>
    </w:p>
    <w:p w:rsidR="004D25A0" w:rsidRPr="00155074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155074">
        <w:rPr>
          <w:rFonts w:ascii="Times New Roman" w:hAnsi="Times New Roman" w:cs="Times New Roman"/>
        </w:rPr>
        <w:t>ТИПОВЫХ И МАССОВЫХ НАРУШЕНИЙ ОБЯЗАТЕЛЬНЫХ ТРЕБОВАНИЙ</w:t>
      </w:r>
    </w:p>
    <w:p w:rsidR="004E575B" w:rsidRDefault="004E575B" w:rsidP="004D25A0">
      <w:pPr>
        <w:pStyle w:val="ConsPlusTitle"/>
        <w:jc w:val="center"/>
        <w:outlineLvl w:val="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4D25A0" w:rsidRPr="004E575B" w:rsidRDefault="004D25A0" w:rsidP="004D25A0">
      <w:pPr>
        <w:pStyle w:val="ConsPlusTitle"/>
        <w:jc w:val="center"/>
        <w:outlineLvl w:val="0"/>
        <w:rPr>
          <w:rFonts w:ascii="Times New Roman" w:hAnsi="Times New Roman" w:cs="Times New Roman"/>
          <w:i/>
        </w:rPr>
      </w:pPr>
      <w:r w:rsidRPr="004E575B">
        <w:rPr>
          <w:rFonts w:ascii="Times New Roman" w:hAnsi="Times New Roman" w:cs="Times New Roman"/>
          <w:i/>
        </w:rPr>
        <w:t>(выписка)</w:t>
      </w:r>
    </w:p>
    <w:p w:rsidR="004D25A0" w:rsidRPr="00155074" w:rsidRDefault="004D25A0" w:rsidP="004D25A0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D25A0" w:rsidRPr="00155074" w:rsidRDefault="004D25A0" w:rsidP="004D25A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55074">
        <w:rPr>
          <w:rFonts w:ascii="Times New Roman" w:hAnsi="Times New Roman" w:cs="Times New Roman"/>
        </w:rPr>
        <w:t>Раздел II</w:t>
      </w:r>
    </w:p>
    <w:p w:rsidR="004D25A0" w:rsidRPr="00155074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155074">
        <w:rPr>
          <w:rFonts w:ascii="Times New Roman" w:hAnsi="Times New Roman" w:cs="Times New Roman"/>
        </w:rPr>
        <w:t>ГОСУДАРСТВЕННЫЙ НАДЗОР В ОБЛАСТИ ГРАЖДАНСКОЙ ОБОРОНЫ</w:t>
      </w:r>
    </w:p>
    <w:p w:rsidR="004D25A0" w:rsidRPr="00155074" w:rsidRDefault="004D25A0" w:rsidP="004D25A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55074" w:rsidRPr="00155074" w:rsidRDefault="00155074" w:rsidP="0015507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55074">
        <w:rPr>
          <w:rFonts w:ascii="Times New Roman" w:hAnsi="Times New Roman" w:cs="Times New Roman"/>
        </w:rPr>
        <w:t>2.5. Доклад с руководством по соблюдению</w:t>
      </w:r>
    </w:p>
    <w:p w:rsidR="00155074" w:rsidRPr="00155074" w:rsidRDefault="00155074" w:rsidP="00155074">
      <w:pPr>
        <w:pStyle w:val="ConsPlusTitle"/>
        <w:jc w:val="center"/>
        <w:rPr>
          <w:rFonts w:ascii="Times New Roman" w:hAnsi="Times New Roman" w:cs="Times New Roman"/>
        </w:rPr>
      </w:pPr>
      <w:r w:rsidRPr="00155074">
        <w:rPr>
          <w:rFonts w:ascii="Times New Roman" w:hAnsi="Times New Roman" w:cs="Times New Roman"/>
        </w:rPr>
        <w:t>обязательных требований</w:t>
      </w:r>
    </w:p>
    <w:p w:rsidR="00155074" w:rsidRPr="00155074" w:rsidRDefault="00155074" w:rsidP="00155074">
      <w:pPr>
        <w:pStyle w:val="ConsPlusNormal"/>
        <w:jc w:val="both"/>
      </w:pPr>
    </w:p>
    <w:p w:rsidR="00155074" w:rsidRPr="00155074" w:rsidRDefault="00155074" w:rsidP="00155074">
      <w:pPr>
        <w:pStyle w:val="ConsPlusNormal"/>
        <w:ind w:firstLine="540"/>
        <w:jc w:val="both"/>
      </w:pPr>
      <w:r w:rsidRPr="00155074">
        <w:t>В целях урегулирования отношений, связанных с организацией и осуществлением федерального государственного надзора в области гражданской обороны, в основу которых положены принципы соразмерности вмешательства в деятельность контролируемых лиц, управление рисками причинения вреда (ущерба) охраняемым законом ценностям, проведена следующая работа.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Федеральным </w:t>
      </w:r>
      <w:hyperlink r:id="rId4" w:history="1">
        <w:r w:rsidRPr="00155074">
          <w:t>законом</w:t>
        </w:r>
      </w:hyperlink>
      <w:r w:rsidRPr="00155074">
        <w:t xml:space="preserve">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внесены изменения в Федеральный </w:t>
      </w:r>
      <w:hyperlink r:id="rId5" w:history="1">
        <w:r w:rsidRPr="00155074">
          <w:t>закон</w:t>
        </w:r>
      </w:hyperlink>
      <w:r w:rsidRPr="00155074">
        <w:t xml:space="preserve"> от 12.02.1998 N 28-ФЗ "О гражданской обороне", закрепляющие основы осуществления надзорных мероприятий в области гражданской обороны.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Принято </w:t>
      </w:r>
      <w:hyperlink r:id="rId6" w:history="1">
        <w:r w:rsidRPr="00155074">
          <w:t>постановление</w:t>
        </w:r>
      </w:hyperlink>
      <w:r w:rsidRPr="00155074">
        <w:t xml:space="preserve"> Правительства Российской Федерации от 25.06.2021 N 1007 "О федеральном государственном надзоре в области гражданской обороны", определяющее порядок организации и осуществления федерального государственного надзора в соответствующей сфере деятельности.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hyperlink r:id="rId7" w:history="1">
        <w:r w:rsidRPr="00155074">
          <w:t>Постановлением</w:t>
        </w:r>
      </w:hyperlink>
      <w:r w:rsidRPr="00155074">
        <w:t xml:space="preserve"> установлен набор средств и механизмов проведения профилактической работы, а также реализуемых органами, осуществляющими федеральный государственный надзор, механизмов при проведении данной работы мероприятий.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К числу профилактических мероприятий отнесены: информирование, обобщение правоприменительной практики, объявление предостережения, осуществление консультирования и профилактический визит.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hyperlink r:id="rId8" w:history="1">
        <w:r w:rsidRPr="00155074">
          <w:t>Постановлением</w:t>
        </w:r>
      </w:hyperlink>
      <w:r w:rsidRPr="00155074">
        <w:t xml:space="preserve"> утвержден актуализированный порядок и критерии отнесения объектов надзора к определенным категориям риска.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Так, плановые контрольные (надзорные) мероприятия в области гражданской обороны осуществляются исключительно в отношении следующих категорий граждан и организаций: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граждан и организаций, эксплуатирующих критически важные объекты;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граждан и организаций, эксплуатирующих потенциально опасные объекты;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граждан и организаций оборонно-промышленного комплекса;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граждан и организаций, отнесенных к категориям по гражданской обороне;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lastRenderedPageBreak/>
        <w:t>граждан и организаций, владеющих и (или) пользующихся (в том числе имеющих на своем балансе) защитными сооружениями гражданской обороны;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граждан и организаций, обеспечивающих выполнение мероприятий федерального, регионального, местного уровней по гражданской обороне;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граждан и организаций, имеющих мобилизационные задания (заказы).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Предусматриваемый перечень реализуемых контрольных (надзорных) мероприятий включает инспекционный визит, рейдовый осмотр, документарную проверку, выездную проверку, а также выездное обследование.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Устанавливаемый набор контрольных (надзорных) мероприятий позволит сократить издержки контролируемых лиц в рамках проводимых мероприятий, а также обеспечит эффективное использование имеющихся ресурсов органов, осуществляющих федеральный государственный надзор, сконцентрировав их усилия на объектах надзора повышенных категорий рисков.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В указанное </w:t>
      </w:r>
      <w:hyperlink r:id="rId9" w:history="1">
        <w:r w:rsidRPr="00155074">
          <w:t>постановление</w:t>
        </w:r>
      </w:hyperlink>
      <w:r w:rsidRPr="00155074">
        <w:t xml:space="preserve"> внесены изменения </w:t>
      </w:r>
      <w:hyperlink r:id="rId10" w:history="1">
        <w:r w:rsidRPr="00155074">
          <w:t>постановлением</w:t>
        </w:r>
      </w:hyperlink>
      <w:r w:rsidRPr="00155074">
        <w:t xml:space="preserve"> Правительства Российской Федерации от 30.11.2021 N 2109 "О внесении изменений в некоторые акты Правительства Российской Федерации" в части установления ключевых показателей, необходимых для адекватной и обоснованной оценки результативности и эффективности деятельности МЧС России по федеральному государственному надзору в области гражданской обороны.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В целях осуществления мониторинга контрольной (надзорной) деятельности в области гражданской обороны, ее анализа, выявления проблем, возникающих при ее осуществлении, и определения причин их возникновения утвержден </w:t>
      </w:r>
      <w:hyperlink r:id="rId11" w:history="1">
        <w:r w:rsidRPr="00155074">
          <w:t>приказ</w:t>
        </w:r>
      </w:hyperlink>
      <w:r w:rsidRPr="00155074">
        <w:t xml:space="preserve"> МЧС России от 16.09.2021 N 614 "Об утверждении индикативных показателей для федерального государственного надзора в области гражданской обороны" (зарегистрировано Минюстом России 21.10.2021, регистрационный N 65530).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Утвержденные индикативные </w:t>
      </w:r>
      <w:hyperlink r:id="rId12" w:history="1">
        <w:r w:rsidRPr="00155074">
          <w:t>показатели</w:t>
        </w:r>
      </w:hyperlink>
      <w:r w:rsidRPr="00155074">
        <w:t xml:space="preserve"> используются при подготовке ежегодного доклада о федеральном государственном надзоре в области гражданской обороны, осуществляемой в соответствии с </w:t>
      </w:r>
      <w:hyperlink r:id="rId13" w:history="1">
        <w:r w:rsidRPr="00155074">
          <w:t>постановлением</w:t>
        </w:r>
      </w:hyperlink>
      <w:r w:rsidRPr="00155074">
        <w:t xml:space="preserve"> Правительства Российской Федерации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МЧС России утвержден </w:t>
      </w:r>
      <w:hyperlink r:id="rId14" w:history="1">
        <w:r w:rsidRPr="00155074">
          <w:t>приказ</w:t>
        </w:r>
      </w:hyperlink>
      <w:r w:rsidRPr="00155074">
        <w:t xml:space="preserve"> от 25.10.2021 N 726 "Об утверждении форм документов, используемых при осуществлении федерального государственного надзора в области гражданской обороны" (зарегистрировано Минюстом России 22.12.2021, регистрационный N 66480).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Утвержденные формы документов необходимы для организации деятельности органов, осуществляющих федеральный государственный надзор, в части учета объектов надзора, организации и проведения профилактических мероприятий, совершения контрольных (надзорных) действий при осуществлении контрольных (надзорных) мероприятий, оформления результатов контрольных (надзорных) мероприятий.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hyperlink r:id="rId15" w:history="1">
        <w:r w:rsidRPr="00155074">
          <w:t>Приказом</w:t>
        </w:r>
      </w:hyperlink>
      <w:r w:rsidRPr="00155074">
        <w:t xml:space="preserve"> МЧС России от 26.10.2021 N 730 "Об утверждении индикатора риска нарушения обязательных требований при осуществлении федерального государственного надзора в области гражданской обороны" (зарегистрировано Минюстом России 01.12.2021, регистрационный N 66173) установлен индикатор риска "Выявление факта снятия с учета защитного сооружения гражданской обороны, которым владело и (или) пользовалось (в том числе имело на своем </w:t>
      </w:r>
      <w:r w:rsidRPr="00155074">
        <w:lastRenderedPageBreak/>
        <w:t>балансе) контролируемое лицо, при отсутствии сведений об иных защитных сооружениях гражданской обороны, которыми владеет и (или) пользуется (в том числе имеет на своем балансе) контролируемое лицо".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Соответствующий индикатор риска характеризует соответствие или отклонение от параметров деятельности юридических лиц и индивидуальных предпринимателей, при этом сам по себе не является нарушением обязательных требований в области гражданской обороны, но с высокой степенью вероятности свидетельствует о наличии такого нарушения и риска причинения вреда (ущерба) охраняемым законом ценностям.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Выявление индикатора риска является основанием для принятия решения о проведении органом, осуществляющим федеральный государственный надзор, внепланового контрольного (надзорного) мероприятия в отношении соответствующего контролируемого лица.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Ввиду проведенной актуализации нормативных правовых актов, содержащих обязательные требования в области гражданской обороны, утвержден </w:t>
      </w:r>
      <w:hyperlink r:id="rId16" w:history="1">
        <w:r w:rsidRPr="00155074">
          <w:t>приказ</w:t>
        </w:r>
      </w:hyperlink>
      <w:r w:rsidRPr="00155074">
        <w:t xml:space="preserve"> МЧС России от 04.02.2022 N 61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обороны" (зарегистрировано Минюстом России 24.02.2022, регистрационный N 67455).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Приказ устанавливает </w:t>
      </w:r>
      <w:hyperlink r:id="rId17" w:history="1">
        <w:r w:rsidRPr="00155074">
          <w:t>форму</w:t>
        </w:r>
      </w:hyperlink>
      <w:r w:rsidRPr="00155074"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в целях его использования при осуществлении федерального государственного надзора и оптимизации проведения контрольных (надзорных) мероприятий.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Контрольные вопросы, предусматриваемые </w:t>
      </w:r>
      <w:hyperlink r:id="rId18" w:history="1">
        <w:r w:rsidRPr="00155074">
          <w:t>формой</w:t>
        </w:r>
      </w:hyperlink>
      <w:r w:rsidRPr="00155074">
        <w:t xml:space="preserve"> проверочного листа, основаны на положениях Федерального </w:t>
      </w:r>
      <w:hyperlink r:id="rId19" w:history="1">
        <w:r w:rsidRPr="00155074">
          <w:t>закона</w:t>
        </w:r>
      </w:hyperlink>
      <w:r w:rsidRPr="00155074">
        <w:t xml:space="preserve"> от 12 февраля 1998 г. N 28-ФЗ "О гражданской обороне" и принимаемых в соответствии с ним иных нормативных правовых актов Российской Федерации, устанавливающих обязательные требования в области гражданской обороны.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Также с учетом новых подходов к организации профилактической работы, установленных положениями Федерального </w:t>
      </w:r>
      <w:hyperlink r:id="rId20" w:history="1">
        <w:r w:rsidRPr="00155074">
          <w:t>закона</w:t>
        </w:r>
      </w:hyperlink>
      <w:r w:rsidRPr="00155074">
        <w:t xml:space="preserve"> от 31 июля 2020 г. N 248-ФЗ "О государственном контроле (надзоре) и муниципальном контроле в Российской Федерации" и </w:t>
      </w:r>
      <w:hyperlink r:id="rId21" w:history="1">
        <w:r w:rsidRPr="00155074">
          <w:t>постановления</w:t>
        </w:r>
      </w:hyperlink>
      <w:r w:rsidRPr="00155074"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разработана и утверждена </w:t>
      </w:r>
      <w:hyperlink r:id="rId22" w:history="1">
        <w:r w:rsidRPr="00155074">
          <w:t>Программа</w:t>
        </w:r>
      </w:hyperlink>
      <w:r w:rsidRPr="00155074">
        <w:t xml:space="preserve"> профилактики рисков причинения вреда (ущерба)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2022 год.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В истекшем году проведена следующая работа по актуализации обязательных требований в области гражданской обороны.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Решением Совета Евразийской экономической комиссии от 5 октября 2021 г. N 100 принят Технический </w:t>
      </w:r>
      <w:hyperlink r:id="rId23" w:history="1">
        <w:r w:rsidRPr="00155074">
          <w:t>регламент</w:t>
        </w:r>
      </w:hyperlink>
      <w:r w:rsidRPr="00155074">
        <w:t xml:space="preserve">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050/2021), который вступает в силу 1 июня 2023 года.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Технический </w:t>
      </w:r>
      <w:hyperlink r:id="rId24" w:history="1">
        <w:r w:rsidRPr="00155074">
          <w:t>регламент</w:t>
        </w:r>
      </w:hyperlink>
      <w:r w:rsidRPr="00155074">
        <w:t xml:space="preserve"> разработан в соответствии с </w:t>
      </w:r>
      <w:hyperlink r:id="rId25" w:history="1">
        <w:r w:rsidRPr="00155074">
          <w:t>Договором</w:t>
        </w:r>
      </w:hyperlink>
      <w:r w:rsidRPr="00155074">
        <w:t xml:space="preserve"> о Евразийском экономическом союзе от 29 мая 2014 г. в целях защиты жизни и (или) здоровья человека, имущества, окружающей среды, жизни и (или) здоровья животных и растений, предупреждения </w:t>
      </w:r>
      <w:r w:rsidRPr="00155074">
        <w:lastRenderedPageBreak/>
        <w:t>действий, вводящих в заблуждение потребителей, и устанавливает обязательные для применения и исполнения на таможенной территории Евразийского экономического союза (далее - Союз) требования к продукции, предназначенной для гражданской обороны и защиты от чрезвычайных ситуаций природного и техногенного характера, выпускаемой в обращение на таможенной территории Союза.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В целях приведения в соответствие с действующей нормативной правовой базой в области гражданской обороны изданы приказы МЧС России: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от 05.10.2021 </w:t>
      </w:r>
      <w:hyperlink r:id="rId26" w:history="1">
        <w:r w:rsidRPr="00155074">
          <w:t>N 669</w:t>
        </w:r>
      </w:hyperlink>
      <w:r w:rsidRPr="00155074">
        <w:t xml:space="preserve"> "О внесении изменений в Типовой порядок создания нештатных формирований по обеспечению выполнения мероприятий по гражданской обороне, утвержденный приказом МЧС России от 18.12.2014 N 701" (зарегистрирован Минюстом России 17.11.2021 N 65873) - устранение противоречий с </w:t>
      </w:r>
      <w:hyperlink r:id="rId27" w:history="1">
        <w:r w:rsidRPr="00155074">
          <w:t>N 28-ФЗ</w:t>
        </w:r>
      </w:hyperlink>
      <w:r w:rsidRPr="00155074">
        <w:t>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 xml:space="preserve">от 17.12.2021 </w:t>
      </w:r>
      <w:hyperlink r:id="rId28" w:history="1">
        <w:r w:rsidRPr="00155074">
          <w:t>N 874</w:t>
        </w:r>
      </w:hyperlink>
      <w:r w:rsidRPr="00155074">
        <w:t xml:space="preserve"> "О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687" (зарегистрирован Минюстом России 17.02.2021 N 67322).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МЧС России утверждены методические рекомендации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 от 29.12.2021 N 2-4-71-12-11, в целях обеспечения единого методического подхода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МЧС России рекомендует руководствоваться методическими рекомендациями при разработке своих нормативных актов, определяющих номенклатуру и объемы создаваемых в целях гражданской обороны запасов материально-технических, продовольственных, медицинских и иных средств.</w:t>
      </w:r>
    </w:p>
    <w:p w:rsidR="00155074" w:rsidRPr="00155074" w:rsidRDefault="00155074" w:rsidP="00155074">
      <w:pPr>
        <w:pStyle w:val="ConsPlusNormal"/>
        <w:spacing w:before="240"/>
        <w:ind w:firstLine="540"/>
        <w:jc w:val="both"/>
      </w:pPr>
      <w:r w:rsidRPr="00155074">
        <w:t>МЧС России утверждены Методические рекомендации 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 от 02.12.2021 N МР-ВЯ-1, которые не нарушают и не ограничивают установленные законодательством полномочия организаций по определению состава, численности и оснащения НАСФ и НФГО, при этом содержат отдельные рекомендательные положения по оптимизации данной работы, а также обобщают требования нормативных правовых актов в части создания и функционирования НАСФ и НФГО.</w:t>
      </w:r>
    </w:p>
    <w:p w:rsidR="008C6AE4" w:rsidRPr="00155074" w:rsidRDefault="004E575B" w:rsidP="00155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C6AE4" w:rsidRPr="00155074" w:rsidSect="007A5B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A3"/>
    <w:rsid w:val="00041D11"/>
    <w:rsid w:val="00155074"/>
    <w:rsid w:val="0031419C"/>
    <w:rsid w:val="003A5DA3"/>
    <w:rsid w:val="004D25A0"/>
    <w:rsid w:val="004E575B"/>
    <w:rsid w:val="007A5BA7"/>
    <w:rsid w:val="009A13B2"/>
    <w:rsid w:val="00B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122C"/>
  <w15:chartTrackingRefBased/>
  <w15:docId w15:val="{74252726-7236-499A-9B7F-6554556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D2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01903&amp;date=22.12.2022" TargetMode="External"/><Relationship Id="rId13" Type="http://schemas.openxmlformats.org/officeDocument/2006/relationships/hyperlink" Target="https://login.consultant.ru/link/?req=doc&amp;demo=1&amp;base=LAW&amp;n=370512&amp;date=22.12.2022" TargetMode="External"/><Relationship Id="rId18" Type="http://schemas.openxmlformats.org/officeDocument/2006/relationships/hyperlink" Target="https://login.consultant.ru/link/?req=doc&amp;demo=1&amp;base=LAW&amp;n=410450&amp;date=22.12.2022&amp;dst=100018&amp;field=134" TargetMode="External"/><Relationship Id="rId26" Type="http://schemas.openxmlformats.org/officeDocument/2006/relationships/hyperlink" Target="https://login.consultant.ru/link/?req=doc&amp;demo=1&amp;base=LAW&amp;n=400606&amp;date=22.12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1&amp;base=LAW&amp;n=388492&amp;date=22.12.2022" TargetMode="External"/><Relationship Id="rId7" Type="http://schemas.openxmlformats.org/officeDocument/2006/relationships/hyperlink" Target="https://login.consultant.ru/link/?req=doc&amp;demo=1&amp;base=LAW&amp;n=401903&amp;date=22.12.2022" TargetMode="External"/><Relationship Id="rId12" Type="http://schemas.openxmlformats.org/officeDocument/2006/relationships/hyperlink" Target="https://login.consultant.ru/link/?req=doc&amp;demo=1&amp;base=LAW&amp;n=398951&amp;date=22.12.2022&amp;dst=100013&amp;field=134" TargetMode="External"/><Relationship Id="rId17" Type="http://schemas.openxmlformats.org/officeDocument/2006/relationships/hyperlink" Target="https://login.consultant.ru/link/?req=doc&amp;demo=1&amp;base=LAW&amp;n=410450&amp;date=22.12.2022&amp;dst=100018&amp;field=134" TargetMode="External"/><Relationship Id="rId25" Type="http://schemas.openxmlformats.org/officeDocument/2006/relationships/hyperlink" Target="https://login.consultant.ru/link/?req=doc&amp;demo=1&amp;base=LAW&amp;n=433492&amp;date=22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410450&amp;date=22.12.2022" TargetMode="External"/><Relationship Id="rId20" Type="http://schemas.openxmlformats.org/officeDocument/2006/relationships/hyperlink" Target="https://login.consultant.ru/link/?req=doc&amp;demo=1&amp;base=LAW&amp;n=433434&amp;date=22.12.202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01903&amp;date=22.12.2022" TargetMode="External"/><Relationship Id="rId11" Type="http://schemas.openxmlformats.org/officeDocument/2006/relationships/hyperlink" Target="https://login.consultant.ru/link/?req=doc&amp;demo=1&amp;base=LAW&amp;n=398951&amp;date=22.12.2022" TargetMode="External"/><Relationship Id="rId24" Type="http://schemas.openxmlformats.org/officeDocument/2006/relationships/hyperlink" Target="https://login.consultant.ru/link/?req=doc&amp;demo=1&amp;base=LAW&amp;n=400052&amp;date=22.12.2022&amp;dst=100015&amp;field=134" TargetMode="External"/><Relationship Id="rId5" Type="http://schemas.openxmlformats.org/officeDocument/2006/relationships/hyperlink" Target="https://login.consultant.ru/link/?req=doc&amp;demo=1&amp;base=LAW&amp;n=422099&amp;date=22.12.2022" TargetMode="External"/><Relationship Id="rId15" Type="http://schemas.openxmlformats.org/officeDocument/2006/relationships/hyperlink" Target="https://login.consultant.ru/link/?req=doc&amp;demo=1&amp;base=LAW&amp;n=402044&amp;date=22.12.2022" TargetMode="External"/><Relationship Id="rId23" Type="http://schemas.openxmlformats.org/officeDocument/2006/relationships/hyperlink" Target="https://login.consultant.ru/link/?req=doc&amp;demo=1&amp;base=LAW&amp;n=400052&amp;date=22.12.2022&amp;dst=100015&amp;field=134" TargetMode="External"/><Relationship Id="rId28" Type="http://schemas.openxmlformats.org/officeDocument/2006/relationships/hyperlink" Target="https://login.consultant.ru/link/?req=doc&amp;demo=1&amp;base=LAW&amp;n=409831&amp;date=22.12.2022" TargetMode="External"/><Relationship Id="rId10" Type="http://schemas.openxmlformats.org/officeDocument/2006/relationships/hyperlink" Target="https://login.consultant.ru/link/?req=doc&amp;demo=1&amp;base=LAW&amp;n=401762&amp;date=22.12.2022" TargetMode="External"/><Relationship Id="rId19" Type="http://schemas.openxmlformats.org/officeDocument/2006/relationships/hyperlink" Target="https://login.consultant.ru/link/?req=doc&amp;demo=1&amp;base=LAW&amp;n=422099&amp;date=22.12.2022" TargetMode="External"/><Relationship Id="rId4" Type="http://schemas.openxmlformats.org/officeDocument/2006/relationships/hyperlink" Target="https://login.consultant.ru/link/?req=doc&amp;demo=1&amp;base=LAW&amp;n=386909&amp;date=22.12.2022" TargetMode="External"/><Relationship Id="rId9" Type="http://schemas.openxmlformats.org/officeDocument/2006/relationships/hyperlink" Target="https://login.consultant.ru/link/?req=doc&amp;demo=1&amp;base=LAW&amp;n=401903&amp;date=22.12.2022" TargetMode="External"/><Relationship Id="rId14" Type="http://schemas.openxmlformats.org/officeDocument/2006/relationships/hyperlink" Target="https://login.consultant.ru/link/?req=doc&amp;demo=1&amp;base=LAW&amp;n=404517&amp;date=22.12.2022" TargetMode="External"/><Relationship Id="rId22" Type="http://schemas.openxmlformats.org/officeDocument/2006/relationships/hyperlink" Target="https://login.consultant.ru/link/?req=doc&amp;demo=1&amp;base=LAW&amp;n=404123&amp;date=22.12.2022&amp;dst=100012&amp;field=134" TargetMode="External"/><Relationship Id="rId27" Type="http://schemas.openxmlformats.org/officeDocument/2006/relationships/hyperlink" Target="https://login.consultant.ru/link/?req=doc&amp;demo=1&amp;base=LAW&amp;n=422099&amp;date=22.12.20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2022-01-28T06:35:00Z</dcterms:created>
  <dcterms:modified xsi:type="dcterms:W3CDTF">2022-12-22T11:27:00Z</dcterms:modified>
</cp:coreProperties>
</file>